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470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default" w:ascii="Times New Roman" w:hAnsi="Times New Roman" w:eastAsia="仿宋" w:cs="Times New Roman"/>
          <w:b/>
          <w:sz w:val="44"/>
        </w:rPr>
      </w:pPr>
      <w:r>
        <w:rPr>
          <w:rFonts w:hint="default" w:ascii="Times New Roman" w:hAnsi="Times New Roman" w:eastAsia="仿宋" w:cs="Times New Roman"/>
          <w:b/>
          <w:sz w:val="44"/>
        </w:rPr>
        <w:t>关于开展上海市智慧健康养老产品、服务及应用场景典型案例征集工作的通知</w:t>
      </w:r>
    </w:p>
    <w:p w14:paraId="024940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</w:p>
    <w:p w14:paraId="71E1C9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各相关单位：</w:t>
      </w:r>
    </w:p>
    <w:p w14:paraId="391C0F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为深入实施积极应对人口老龄化国家战略，全面落实国家、本市银发经济与智慧养老政策部署，贯彻工业和信息化部、国家发展改革委《电子信息制造业发展“十五五”规划》（工信部联规〔2026〕216号）关于发展智慧健康养老产业、开展典型案例征集和应用推广活动、发挥行业协会商会供需对接与服务赋能作用的要求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，</w:t>
      </w:r>
      <w:r>
        <w:rPr>
          <w:rFonts w:hint="default" w:ascii="Times New Roman" w:hAnsi="Times New Roman" w:eastAsia="仿宋" w:cs="Times New Roman"/>
          <w:b w:val="0"/>
          <w:sz w:val="32"/>
        </w:rPr>
        <w:t>挖掘一批技术先进、落地成熟、可复制推广的智慧健康养老产品、服务及应用场景典型案例，推动居家、社区、机构养老数字化、适老化深度融合，持续优化本市智慧健康养老供给体系，赋能本市银发经济高质量发展，现组织开展2026年度智慧健康养老产品、服务及应用场景典型案例征集工作。现将有关事项通知如下：</w:t>
      </w:r>
    </w:p>
    <w:p w14:paraId="75C1AE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 w:val="0"/>
          <w:sz w:val="32"/>
        </w:rPr>
        <w:t>一、申报主体</w:t>
      </w:r>
    </w:p>
    <w:p w14:paraId="0703F3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b w:val="0"/>
          <w:color w:val="0000FF"/>
          <w:sz w:val="32"/>
          <w:highlight w:val="yellow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具备独立法人资格，运用人工智能、物联网、大数据、云计算、机器人等新一代信息技术，面向老年群体研发、生产相关智能终端产品，或提供数字化平台及专业服务的各类市场主体；以及主导智慧养老场景建设运营的街道办事处（乡镇人民政府）、居（村）民委员会等基层治理主体。支持养老机构、社区养老服务机构、医疗机构、基层治理主体与技术服务商、设备厂商组成联合体共同申报典型案例。</w:t>
      </w:r>
    </w:p>
    <w:p w14:paraId="6DB64B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outlineLvl w:val="0"/>
        <w:rPr>
          <w:rFonts w:hint="default" w:ascii="黑体" w:hAnsi="黑体" w:eastAsia="黑体" w:cs="黑体"/>
          <w:b w:val="0"/>
          <w:sz w:val="32"/>
        </w:rPr>
      </w:pPr>
      <w:r>
        <w:rPr>
          <w:rFonts w:hint="default" w:ascii="黑体" w:hAnsi="黑体" w:eastAsia="黑体" w:cs="黑体"/>
          <w:b w:val="0"/>
          <w:sz w:val="32"/>
        </w:rPr>
        <w:t>二、征集范围</w:t>
      </w:r>
    </w:p>
    <w:p w14:paraId="129AFA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（一）智慧健康养老产品及服务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，</w:t>
      </w:r>
      <w:r>
        <w:rPr>
          <w:rFonts w:hint="default" w:ascii="Times New Roman" w:hAnsi="Times New Roman" w:eastAsia="仿宋" w:cs="Times New Roman"/>
          <w:b w:val="0"/>
          <w:sz w:val="32"/>
        </w:rPr>
        <w:t>涵盖以下三大类方向：</w:t>
      </w:r>
    </w:p>
    <w:p w14:paraId="033FAD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1.智慧健康养老产品供给：健康监测穿戴设备、智能康复辅具、养老安全监护设备、中医数字化设备、老年智能家居、适老化智能出行产品、护理机器人、康复机器人、家庭服务机器人、具身智能养老终端等；</w:t>
      </w:r>
    </w:p>
    <w:p w14:paraId="78FE17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2.智慧健康创新应用：老年慢病管理平台、远程医疗问诊系统、认知症智能干预、养老机构数字化管理系统、老年精神陪护AI产品、AI健康助手、具身智能照护应用等；</w:t>
      </w:r>
    </w:p>
    <w:p w14:paraId="21708E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3.智慧养老场景与服务：居家上门数字化照护、社区嵌入式智慧养老、长期照护智能运营、老年心理关怀、医养结合数字化服务、智慧康养平台智能体、音乐疗愈等新型智能服务、老年体能检测评估服务等。</w:t>
      </w:r>
    </w:p>
    <w:p w14:paraId="5EF706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（二）智慧养老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应用场景</w:t>
      </w:r>
      <w:r>
        <w:rPr>
          <w:rFonts w:hint="default" w:ascii="Times New Roman" w:hAnsi="Times New Roman" w:eastAsia="仿宋" w:cs="Times New Roman"/>
          <w:b w:val="0"/>
          <w:sz w:val="32"/>
        </w:rPr>
        <w:t>，包括但不限于：</w:t>
      </w:r>
    </w:p>
    <w:p w14:paraId="1634E9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b w:val="0"/>
          <w:sz w:val="32"/>
        </w:rPr>
        <w:t>居家养老场景：居家适老化智能照护、家庭养老床位远程支持、老年人安全应急守护（防跌倒、防走失、紧急救援</w:t>
      </w:r>
      <w:r>
        <w:rPr>
          <w:rFonts w:hint="default" w:ascii="Times New Roman" w:hAnsi="Times New Roman" w:eastAsia="仿宋" w:cs="Times New Roman"/>
          <w:b w:val="0"/>
          <w:sz w:val="32"/>
          <w:lang w:eastAsia="zh-CN"/>
        </w:rPr>
        <w:t>、用水用电燃气智能监测</w:t>
      </w:r>
      <w:r>
        <w:rPr>
          <w:rFonts w:hint="default" w:ascii="Times New Roman" w:hAnsi="Times New Roman" w:eastAsia="仿宋" w:cs="Times New Roman"/>
          <w:b w:val="0"/>
          <w:sz w:val="32"/>
        </w:rPr>
        <w:t>）、居家失能老年人数字化照护等；</w:t>
      </w:r>
    </w:p>
    <w:p w14:paraId="5D909E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b w:val="0"/>
          <w:sz w:val="32"/>
        </w:rPr>
        <w:t>社区养老场景：社区智慧康养服务中心、社区智慧助餐、老年人智慧出行（一键叫车等）、社区认知障碍老年人关爱支持等；</w:t>
      </w:r>
    </w:p>
    <w:p w14:paraId="3E84A3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b w:val="0"/>
          <w:sz w:val="32"/>
        </w:rPr>
        <w:t>机构养老场景：机构失能失智数字化照护、智慧养老院运营管理、机构安全智能监护等；</w:t>
      </w:r>
    </w:p>
    <w:p w14:paraId="57CE18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sz w:val="32"/>
          <w:lang w:eastAsia="zh-CN"/>
        </w:rPr>
      </w:pPr>
      <w:r>
        <w:rPr>
          <w:rFonts w:hint="default" w:ascii="Times New Roman" w:hAnsi="Times New Roman" w:eastAsia="仿宋" w:cs="Times New Roman"/>
          <w:b w:val="0"/>
          <w:sz w:val="32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b w:val="0"/>
          <w:sz w:val="32"/>
        </w:rPr>
        <w:t>其他重点场景：智慧社区（数字社区）康养融合应用、医养结合数字协同、农村互助智慧养老、养老护理员智能减负、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老年体能检测评估</w:t>
      </w:r>
      <w:r>
        <w:rPr>
          <w:rFonts w:hint="default" w:ascii="Times New Roman" w:hAnsi="Times New Roman" w:eastAsia="仿宋" w:cs="Times New Roman"/>
          <w:b w:val="0"/>
          <w:sz w:val="32"/>
        </w:rPr>
        <w:t>、AI情感陪伴与音乐疗愈等新型智能服务场景案例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。</w:t>
      </w:r>
    </w:p>
    <w:p w14:paraId="25F229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outlineLvl w:val="0"/>
        <w:rPr>
          <w:rFonts w:hint="default" w:ascii="黑体" w:hAnsi="黑体" w:eastAsia="黑体" w:cs="黑体"/>
          <w:b w:val="0"/>
          <w:sz w:val="32"/>
        </w:rPr>
      </w:pPr>
      <w:r>
        <w:rPr>
          <w:rFonts w:hint="default" w:ascii="黑体" w:hAnsi="黑体" w:eastAsia="黑体" w:cs="黑体"/>
          <w:b w:val="0"/>
          <w:sz w:val="32"/>
        </w:rPr>
        <w:t>三、申报要求</w:t>
      </w:r>
    </w:p>
    <w:p w14:paraId="296189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cs="Times New Roman"/>
          <w:b w:val="0"/>
          <w:sz w:val="32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（一）主体合规。申报单位应具备独立法人资格，近3年内无重大质量安全事故、行政处罚、失信记录及知识产权纠纷，无大规模消费者投诉。街道办事处（乡镇人民政府）等机关法人、居（村）民委员会等基层治理主体可以作为申报单位或联合体成员申报。以联合体形式申报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应用场景</w:t>
      </w:r>
      <w:r>
        <w:rPr>
          <w:rFonts w:hint="default" w:ascii="Times New Roman" w:hAnsi="Times New Roman" w:eastAsia="仿宋" w:cs="Times New Roman"/>
          <w:b w:val="0"/>
          <w:sz w:val="32"/>
        </w:rPr>
        <w:t>的，应明确一家牵头单位作为申报主体，由其负责材料报送并承担主体责任，联合体各方均应符合本条合规要求。</w:t>
      </w:r>
    </w:p>
    <w:p w14:paraId="1653A2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  <w:highlight w:val="yellow"/>
        </w:rPr>
      </w:pP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（二）质量可靠。申报产品应通过相关检测认证，属于国家规定强制性市场准入范围的应取得相应准入资格；申报服务应通过第三方服务质量评估；申报</w:t>
      </w:r>
      <w:r>
        <w:rPr>
          <w:rFonts w:hint="eastAsia" w:ascii="Times New Roman" w:hAnsi="Times New Roman" w:cs="Times New Roman"/>
          <w:b w:val="0"/>
          <w:sz w:val="32"/>
          <w:highlight w:val="none"/>
          <w:lang w:val="en-US" w:eastAsia="zh-CN"/>
        </w:rPr>
        <w:t>应用场景</w:t>
      </w: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中采用的产品应符合产品资质要求，涉及的服务应通过第三方服务质量评估，并应提供场景落地运营证明材料（建设运营合同、合作协议、运营成效数据等）。所申报项目应当满足，申报产品市场化销售满1年；申报服务标准化运营满1年；申报</w:t>
      </w:r>
      <w:r>
        <w:rPr>
          <w:rFonts w:hint="eastAsia" w:ascii="Times New Roman" w:hAnsi="Times New Roman" w:cs="Times New Roman"/>
          <w:b w:val="0"/>
          <w:sz w:val="32"/>
          <w:highlight w:val="none"/>
          <w:lang w:val="en-US" w:eastAsia="zh-CN"/>
        </w:rPr>
        <w:t>应用场景</w:t>
      </w: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完整落地、持续运营满1年，并具有创新性、适老化和可复制推广价值。</w:t>
      </w:r>
    </w:p>
    <w:p w14:paraId="7D3E77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  <w:highlight w:val="none"/>
        </w:rPr>
      </w:pP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（三）数据安全与材料真实。应建立完善的数据隐私保护机制，符合《中华人民共和国个人信息保护法》《中华人民共和国数据安全法》等法律法规要求。申报主体对申报材料的真实性负责，案例所涉产品、技术及相关知识产权归属清晰、无纠纷；申报材料存在虚假内容的，取消申报资格。</w:t>
      </w:r>
    </w:p>
    <w:p w14:paraId="7D3696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（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四</w:t>
      </w:r>
      <w:r>
        <w:rPr>
          <w:rFonts w:hint="default" w:ascii="Times New Roman" w:hAnsi="Times New Roman" w:eastAsia="仿宋" w:cs="Times New Roman"/>
          <w:b w:val="0"/>
          <w:sz w:val="32"/>
        </w:rPr>
        <w:t>）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禁止重复申报</w:t>
      </w:r>
      <w:r>
        <w:rPr>
          <w:rFonts w:hint="default" w:ascii="Times New Roman" w:hAnsi="Times New Roman" w:eastAsia="仿宋" w:cs="Times New Roman"/>
          <w:b w:val="0"/>
          <w:sz w:val="32"/>
        </w:rPr>
        <w:t>。入选2022—2025年国家级及上海市智慧健康养老产品及服务推广目录（优秀应用案例）的产品、服务和案例不得重复申报。</w:t>
      </w:r>
    </w:p>
    <w:p w14:paraId="43462D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outlineLvl w:val="0"/>
        <w:rPr>
          <w:rFonts w:hint="default" w:ascii="黑体" w:hAnsi="黑体" w:eastAsia="黑体" w:cs="黑体"/>
          <w:b w:val="0"/>
          <w:sz w:val="32"/>
        </w:rPr>
      </w:pPr>
      <w:r>
        <w:rPr>
          <w:rFonts w:hint="default" w:ascii="黑体" w:hAnsi="黑体" w:eastAsia="黑体" w:cs="黑体"/>
          <w:b w:val="0"/>
          <w:sz w:val="32"/>
        </w:rPr>
        <w:t>四、申报方式</w:t>
      </w:r>
    </w:p>
    <w:p w14:paraId="346308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  <w:lang w:eastAsia="zh-CN"/>
        </w:rPr>
      </w:pPr>
      <w:r>
        <w:rPr>
          <w:rFonts w:hint="default" w:ascii="Times New Roman" w:hAnsi="Times New Roman" w:eastAsia="仿宋" w:cs="Times New Roman"/>
          <w:b w:val="0"/>
          <w:sz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b w:val="0"/>
          <w:sz w:val="32"/>
          <w:lang w:val="en-US" w:eastAsia="zh-CN"/>
        </w:rPr>
        <w:t>一</w:t>
      </w:r>
      <w:r>
        <w:rPr>
          <w:rFonts w:hint="default" w:ascii="Times New Roman" w:hAnsi="Times New Roman" w:eastAsia="仿宋" w:cs="Times New Roman"/>
          <w:b w:val="0"/>
          <w:sz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b w:val="0"/>
          <w:sz w:val="32"/>
        </w:rPr>
        <w:t>线上填报通道</w:t>
      </w:r>
      <w:r>
        <w:rPr>
          <w:rFonts w:hint="default" w:ascii="Times New Roman" w:hAnsi="Times New Roman" w:eastAsia="仿宋" w:cs="Times New Roman"/>
          <w:b w:val="0"/>
          <w:sz w:val="32"/>
          <w:lang w:eastAsia="zh-CN"/>
        </w:rPr>
        <w:t>：</w:t>
      </w:r>
    </w:p>
    <w:p w14:paraId="0C72F4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  <w:lang w:eastAsia="zh-C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 xml:space="preserve"> 1. 登录申报平台：</w:t>
      </w:r>
      <w:r>
        <w:rPr>
          <w:rStyle w:val="137"/>
          <w:rFonts w:hint="default" w:ascii="Times New Roman" w:hAnsi="Times New Roman" w:eastAsia="仿宋" w:cs="Times New Roman"/>
          <w:kern w:val="2"/>
          <w:sz w:val="32"/>
          <w:szCs w:val="32"/>
          <w:lang w:eastAsia="zh-CN"/>
        </w:rPr>
        <w:fldChar w:fldCharType="begin"/>
      </w:r>
      <w:r>
        <w:rPr>
          <w:rStyle w:val="137"/>
          <w:rFonts w:hint="default" w:ascii="Times New Roman" w:hAnsi="Times New Roman" w:eastAsia="仿宋" w:cs="Times New Roman"/>
          <w:kern w:val="2"/>
          <w:sz w:val="32"/>
          <w:szCs w:val="32"/>
          <w:lang w:eastAsia="zh-CN"/>
        </w:rPr>
        <w:instrText xml:space="preserve"> HYPERLINK "https://www.shanghaiiot.org" </w:instrText>
      </w:r>
      <w:r>
        <w:rPr>
          <w:rStyle w:val="137"/>
          <w:rFonts w:hint="default" w:ascii="Times New Roman" w:hAnsi="Times New Roman" w:eastAsia="仿宋" w:cs="Times New Roman"/>
          <w:kern w:val="2"/>
          <w:sz w:val="32"/>
          <w:szCs w:val="32"/>
          <w:lang w:eastAsia="zh-CN"/>
        </w:rPr>
        <w:fldChar w:fldCharType="separate"/>
      </w:r>
      <w:r>
        <w:rPr>
          <w:rStyle w:val="137"/>
          <w:rFonts w:hint="default" w:ascii="Times New Roman" w:hAnsi="Times New Roman" w:eastAsia="仿宋" w:cs="Times New Roman"/>
          <w:kern w:val="2"/>
          <w:sz w:val="32"/>
          <w:szCs w:val="32"/>
          <w:lang w:eastAsia="zh-CN"/>
        </w:rPr>
        <w:t>https://www.shanghaiiot.org</w:t>
      </w:r>
      <w:r>
        <w:rPr>
          <w:rStyle w:val="137"/>
          <w:rFonts w:hint="default" w:ascii="Times New Roman" w:hAnsi="Times New Roman" w:eastAsia="仿宋" w:cs="Times New Roman"/>
          <w:kern w:val="2"/>
          <w:sz w:val="32"/>
          <w:szCs w:val="32"/>
          <w:lang w:eastAsia="zh-CN"/>
        </w:rPr>
        <w:fldChar w:fldCharType="end"/>
      </w:r>
      <w:r>
        <w:rPr>
          <w:rFonts w:hint="default" w:ascii="Times New Roman" w:hAnsi="Times New Roman" w:eastAsia="仿宋" w:cs="Times New Roman"/>
          <w:b w:val="0"/>
          <w:sz w:val="32"/>
          <w:lang w:eastAsia="zh-CN"/>
        </w:rPr>
        <w:t>；</w:t>
      </w:r>
    </w:p>
    <w:p w14:paraId="7B584B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 xml:space="preserve"> 2. 网站首页进入【更多】栏目，选择【智慧健康养老申报】入口，完成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b w:val="0"/>
          <w:sz w:val="32"/>
        </w:rPr>
        <w:t>注册、账号实名认证；</w:t>
      </w:r>
    </w:p>
    <w:p w14:paraId="70B64E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 xml:space="preserve"> 3. 区分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b w:val="0"/>
          <w:sz w:val="32"/>
        </w:rPr>
        <w:t>产品申报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”“</w:t>
      </w:r>
      <w:r>
        <w:rPr>
          <w:rFonts w:hint="default" w:ascii="Times New Roman" w:hAnsi="Times New Roman" w:eastAsia="仿宋" w:cs="Times New Roman"/>
          <w:b w:val="0"/>
          <w:sz w:val="32"/>
        </w:rPr>
        <w:t>服务申报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”“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应用场景</w:t>
      </w:r>
      <w:r>
        <w:rPr>
          <w:rFonts w:hint="default" w:ascii="Times New Roman" w:hAnsi="Times New Roman" w:eastAsia="仿宋" w:cs="Times New Roman"/>
          <w:b w:val="0"/>
          <w:sz w:val="32"/>
        </w:rPr>
        <w:t>申报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b w:val="0"/>
          <w:sz w:val="32"/>
        </w:rPr>
        <w:t xml:space="preserve">三类通道在线上传材料，所有文件均以PDF格式上传； </w:t>
      </w:r>
    </w:p>
    <w:p w14:paraId="44F444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highlight w:val="none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（二）申报截止时间为2026年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b w:val="0"/>
          <w:sz w:val="32"/>
        </w:rPr>
        <w:t>月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30</w:t>
      </w:r>
      <w:r>
        <w:rPr>
          <w:rFonts w:hint="default" w:ascii="Times New Roman" w:hAnsi="Times New Roman" w:eastAsia="仿宋" w:cs="Times New Roman"/>
          <w:b w:val="0"/>
          <w:sz w:val="32"/>
        </w:rPr>
        <w:t>日，申报系统将于截止</w:t>
      </w: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时间自动关闭，逾期不再受理任何申报材料。</w:t>
      </w:r>
    </w:p>
    <w:p w14:paraId="489C86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（三）申报全套材料含：盖章版申报书</w:t>
      </w:r>
      <w:r>
        <w:rPr>
          <w:rFonts w:hint="eastAsia" w:ascii="Times New Roman" w:hAnsi="Times New Roman" w:cs="Times New Roman"/>
          <w:b w:val="0"/>
          <w:sz w:val="32"/>
          <w:highlight w:val="none"/>
          <w:lang w:eastAsia="zh-CN"/>
        </w:rPr>
        <w:t>、</w:t>
      </w:r>
      <w:r>
        <w:rPr>
          <w:rFonts w:hint="eastAsia" w:ascii="Times New Roman" w:hAnsi="Times New Roman" w:cs="Times New Roman"/>
          <w:b w:val="0"/>
          <w:sz w:val="32"/>
          <w:highlight w:val="none"/>
          <w:lang w:val="en-US" w:eastAsia="zh-CN"/>
        </w:rPr>
        <w:t>申报单位</w:t>
      </w: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主体证明、</w:t>
      </w:r>
      <w:r>
        <w:rPr>
          <w:rFonts w:hint="eastAsia" w:ascii="Times New Roman" w:hAnsi="Times New Roman" w:cs="Times New Roman"/>
          <w:b w:val="0"/>
          <w:sz w:val="32"/>
          <w:highlight w:val="none"/>
          <w:lang w:val="en-US" w:eastAsia="zh-CN"/>
        </w:rPr>
        <w:t>申报项目</w:t>
      </w: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资质证明、运营证明</w:t>
      </w:r>
      <w:r>
        <w:rPr>
          <w:rFonts w:hint="eastAsia" w:ascii="Times New Roman" w:hAnsi="Times New Roman" w:cs="Times New Roman"/>
          <w:b w:val="0"/>
          <w:sz w:val="32"/>
          <w:highlight w:val="none"/>
          <w:lang w:val="en-US" w:eastAsia="zh-CN"/>
        </w:rPr>
        <w:t>等</w:t>
      </w: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，详见附件</w:t>
      </w:r>
      <w:r>
        <w:rPr>
          <w:rFonts w:hint="eastAsia" w:ascii="Times New Roman" w:hAnsi="Times New Roman" w:cs="Times New Roman"/>
          <w:b w:val="0"/>
          <w:sz w:val="32"/>
          <w:highlight w:val="none"/>
          <w:lang w:val="en-US" w:eastAsia="zh-CN"/>
        </w:rPr>
        <w:t>1填写说明</w:t>
      </w:r>
      <w:r>
        <w:rPr>
          <w:rFonts w:hint="default" w:ascii="Times New Roman" w:hAnsi="Times New Roman" w:eastAsia="仿宋" w:cs="Times New Roman"/>
          <w:b w:val="0"/>
          <w:sz w:val="32"/>
          <w:highlight w:val="none"/>
        </w:rPr>
        <w:t>。</w:t>
      </w:r>
    </w:p>
    <w:p w14:paraId="520020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outlineLvl w:val="0"/>
        <w:rPr>
          <w:rFonts w:hint="default" w:ascii="黑体" w:hAnsi="黑体" w:eastAsia="黑体" w:cs="黑体"/>
          <w:b w:val="0"/>
          <w:sz w:val="32"/>
        </w:rPr>
      </w:pPr>
      <w:r>
        <w:rPr>
          <w:rFonts w:hint="default" w:ascii="黑体" w:hAnsi="黑体" w:eastAsia="黑体" w:cs="黑体"/>
          <w:b w:val="0"/>
          <w:sz w:val="32"/>
        </w:rPr>
        <w:t>五、</w:t>
      </w:r>
      <w:r>
        <w:rPr>
          <w:rFonts w:hint="default" w:ascii="黑体" w:hAnsi="黑体" w:eastAsia="黑体" w:cs="黑体"/>
          <w:b w:val="0"/>
          <w:sz w:val="32"/>
          <w:lang w:val="en-US" w:eastAsia="zh-CN"/>
        </w:rPr>
        <w:t>评审与</w:t>
      </w:r>
      <w:r>
        <w:rPr>
          <w:rFonts w:hint="default" w:ascii="黑体" w:hAnsi="黑体" w:eastAsia="黑体" w:cs="黑体"/>
          <w:b w:val="0"/>
          <w:sz w:val="32"/>
        </w:rPr>
        <w:t>编研</w:t>
      </w:r>
    </w:p>
    <w:p w14:paraId="1E0412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协会</w:t>
      </w:r>
      <w:r>
        <w:rPr>
          <w:rFonts w:hint="default" w:ascii="Times New Roman" w:hAnsi="Times New Roman" w:eastAsia="仿宋" w:cs="Times New Roman"/>
          <w:b w:val="0"/>
          <w:sz w:val="32"/>
        </w:rPr>
        <w:t>将组织经信、民政、卫健等领域专家对申报材料进行评审，评审结果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以书面形式</w:t>
      </w:r>
      <w:r>
        <w:rPr>
          <w:rFonts w:hint="default" w:ascii="Times New Roman" w:hAnsi="Times New Roman" w:eastAsia="仿宋" w:cs="Times New Roman"/>
          <w:b w:val="0"/>
          <w:sz w:val="32"/>
        </w:rPr>
        <w:t>告知申报单位。通过评审的产品、服务、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应用场景</w:t>
      </w:r>
      <w:r>
        <w:rPr>
          <w:rFonts w:hint="default" w:ascii="Times New Roman" w:hAnsi="Times New Roman" w:eastAsia="仿宋" w:cs="Times New Roman"/>
          <w:b w:val="0"/>
          <w:sz w:val="32"/>
        </w:rPr>
        <w:t>，统一编入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本</w:t>
      </w:r>
      <w:r>
        <w:rPr>
          <w:rFonts w:hint="eastAsia" w:ascii="Times New Roman" w:hAnsi="Times New Roman" w:eastAsia="仿宋" w:cs="Times New Roman"/>
          <w:b w:val="0"/>
          <w:sz w:val="32"/>
          <w:lang w:val="en-US" w:eastAsia="zh-CN"/>
        </w:rPr>
        <w:t>市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《</w:t>
      </w:r>
      <w:r>
        <w:rPr>
          <w:rFonts w:hint="eastAsia" w:ascii="Times New Roman" w:hAnsi="Times New Roman" w:eastAsia="仿宋" w:cs="Times New Roman"/>
          <w:b w:val="0"/>
          <w:sz w:val="32"/>
          <w:lang w:val="en-US" w:eastAsia="zh-CN"/>
        </w:rPr>
        <w:t>智慧康养产业蓝皮书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》、《</w:t>
      </w:r>
      <w:r>
        <w:rPr>
          <w:rFonts w:hint="eastAsia" w:ascii="Times New Roman" w:hAnsi="Times New Roman" w:eastAsia="仿宋" w:cs="Times New Roman"/>
          <w:b w:val="0"/>
          <w:sz w:val="32"/>
          <w:lang w:val="en-US" w:eastAsia="zh-CN"/>
        </w:rPr>
        <w:t>智慧康养技术白皮书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》、《</w:t>
      </w:r>
      <w:r>
        <w:rPr>
          <w:rFonts w:hint="eastAsia" w:ascii="Times New Roman" w:hAnsi="Times New Roman" w:eastAsia="仿宋" w:cs="Times New Roman"/>
          <w:b w:val="0"/>
          <w:sz w:val="32"/>
          <w:lang w:val="en-US" w:eastAsia="zh-CN"/>
        </w:rPr>
        <w:t>智慧康养运营红宝书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》</w:t>
      </w:r>
      <w:bookmarkStart w:id="0" w:name="_GoBack"/>
      <w:bookmarkEnd w:id="0"/>
      <w:r>
        <w:rPr>
          <w:rFonts w:hint="default" w:ascii="Times New Roman" w:hAnsi="Times New Roman" w:eastAsia="仿宋" w:cs="Times New Roman"/>
          <w:b w:val="0"/>
          <w:sz w:val="32"/>
        </w:rPr>
        <w:t>，为产业研究分析、政策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标准</w:t>
      </w:r>
      <w:r>
        <w:rPr>
          <w:rFonts w:hint="default" w:ascii="Times New Roman" w:hAnsi="Times New Roman" w:eastAsia="仿宋" w:cs="Times New Roman"/>
          <w:b w:val="0"/>
          <w:sz w:val="32"/>
        </w:rPr>
        <w:t>制定</w:t>
      </w:r>
      <w:r>
        <w:rPr>
          <w:rFonts w:hint="eastAsia" w:ascii="Times New Roman" w:hAnsi="Times New Roman" w:cs="Times New Roman"/>
          <w:b w:val="0"/>
          <w:sz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b w:val="0"/>
          <w:sz w:val="32"/>
        </w:rPr>
        <w:t>行业体系建设提供实践参考。</w:t>
      </w:r>
    </w:p>
    <w:p w14:paraId="341D06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outlineLvl w:val="0"/>
        <w:rPr>
          <w:rFonts w:hint="default" w:ascii="黑体" w:hAnsi="黑体" w:eastAsia="黑体" w:cs="黑体"/>
          <w:b w:val="0"/>
          <w:sz w:val="32"/>
        </w:rPr>
      </w:pPr>
      <w:r>
        <w:rPr>
          <w:rFonts w:hint="default" w:ascii="黑体" w:hAnsi="黑体" w:eastAsia="黑体" w:cs="黑体"/>
          <w:b w:val="0"/>
          <w:sz w:val="32"/>
        </w:rPr>
        <w:t>六、联系方式</w:t>
      </w:r>
    </w:p>
    <w:p w14:paraId="15279C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咨询：程老师 17791639289</w:t>
      </w:r>
    </w:p>
    <w:p w14:paraId="0C6670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材料报送邮箱：info@shanghaiiot.org</w:t>
      </w:r>
    </w:p>
    <w:p w14:paraId="7C216D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咨询受理时段：工作日9:00—11:30，14:00—17:00</w:t>
      </w:r>
    </w:p>
    <w:p w14:paraId="4F8F18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附件</w:t>
      </w:r>
      <w:r>
        <w:rPr>
          <w:rFonts w:hint="default" w:ascii="Times New Roman" w:hAnsi="Times New Roman" w:eastAsia="仿宋" w:cs="Times New Roman"/>
          <w:b w:val="0"/>
          <w:sz w:val="32"/>
          <w:lang w:val="en-US" w:eastAsia="zh-CN"/>
        </w:rPr>
        <w:t>清单</w:t>
      </w:r>
      <w:r>
        <w:rPr>
          <w:rFonts w:hint="default" w:ascii="Times New Roman" w:hAnsi="Times New Roman" w:eastAsia="仿宋" w:cs="Times New Roman"/>
          <w:b w:val="0"/>
          <w:sz w:val="32"/>
        </w:rPr>
        <w:t>：</w:t>
      </w:r>
    </w:p>
    <w:p w14:paraId="1543D4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1.上海市智慧健康养老产品、服务及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应用场景</w:t>
      </w:r>
      <w:r>
        <w:rPr>
          <w:rFonts w:hint="default" w:ascii="Times New Roman" w:hAnsi="Times New Roman" w:eastAsia="仿宋" w:cs="Times New Roman"/>
          <w:b w:val="0"/>
          <w:sz w:val="32"/>
        </w:rPr>
        <w:t>申报书（2026年版）</w:t>
      </w:r>
    </w:p>
    <w:p w14:paraId="101B45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default" w:ascii="Times New Roman" w:hAnsi="Times New Roman" w:eastAsia="仿宋" w:cs="Times New Roman"/>
          <w:b w:val="0"/>
          <w:sz w:val="32"/>
        </w:rPr>
      </w:pP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b w:val="0"/>
          <w:sz w:val="32"/>
        </w:rPr>
        <w:t>.线上申报平台操作手册（2026年版）</w:t>
      </w:r>
    </w:p>
    <w:p w14:paraId="3C900C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default" w:ascii="Times New Roman" w:hAnsi="Times New Roman" w:eastAsia="仿宋" w:cs="Times New Roman"/>
        </w:rPr>
      </w:pPr>
    </w:p>
    <w:p w14:paraId="4EC9B3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right"/>
        <w:textAlignment w:val="auto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上海市物联网行业协会</w:t>
      </w:r>
    </w:p>
    <w:p w14:paraId="661EE7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righ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sz w:val="32"/>
        </w:rPr>
        <w:t>2026年</w:t>
      </w:r>
      <w:r>
        <w:rPr>
          <w:rFonts w:hint="eastAsia" w:ascii="Times New Roman" w:hAnsi="Times New Roman" w:cs="Times New Roman"/>
          <w:b w:val="0"/>
          <w:sz w:val="32"/>
          <w:lang w:val="en-US" w:eastAsia="zh-CN"/>
        </w:rPr>
        <w:t>10月</w:t>
      </w:r>
    </w:p>
    <w:sectPr>
      <w:footerReference r:id="rId5" w:type="default"/>
      <w:pgSz w:w="12240" w:h="15840"/>
      <w:pgMar w:top="1440" w:right="1800" w:bottom="1440" w:left="1800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9FA4592-AD0D-4C1D-A5B8-FB06FC079A9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CC54F52-C545-4D92-A44A-219989CB1154}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6FE618">
    <w:pPr>
      <w:pStyle w:val="24"/>
    </w:pPr>
    <w:r>
      <w:rPr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6C8BAE">
                          <w:pPr>
                            <w:pStyle w:val="2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6C8BAE">
                    <w:pPr>
                      <w:pStyle w:val="2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2"/>
    <w:multiLevelType w:val="singleLevel"/>
    <w:tmpl w:val="00000002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00000003"/>
    <w:multiLevelType w:val="singleLevel"/>
    <w:tmpl w:val="00000003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00000004"/>
    <w:multiLevelType w:val="singleLevel"/>
    <w:tmpl w:val="00000004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00000005"/>
    <w:multiLevelType w:val="singleLevel"/>
    <w:tmpl w:val="00000005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00000006"/>
    <w:multiLevelType w:val="singleLevel"/>
    <w:tmpl w:val="00000006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00000007"/>
    <w:multiLevelType w:val="singleLevel"/>
    <w:tmpl w:val="00000007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54A8F"/>
    <w:rsid w:val="031D7743"/>
    <w:rsid w:val="1D435730"/>
    <w:rsid w:val="34852C7A"/>
    <w:rsid w:val="4CEB2E25"/>
    <w:rsid w:val="576B2B1F"/>
    <w:rsid w:val="609D1062"/>
    <w:rsid w:val="6569656F"/>
    <w:rsid w:val="6F112F02"/>
    <w:rsid w:val="7051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qFormat="1" w:unhideWhenUsed="0" w:uiPriority="99" w:semiHidden="0" w:name="macro"/>
    <w:lsdException w:unhideWhenUsed="0" w:uiPriority="0" w:semiHidden="0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 w:cs="宋体"/>
      <w:sz w:val="32"/>
      <w:szCs w:val="22"/>
      <w:lang w:val="en-US" w:eastAsia="en-US" w:bidi="ar-SA"/>
    </w:rPr>
  </w:style>
  <w:style w:type="paragraph" w:styleId="3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="Calibri" w:hAnsi="Calibri" w:eastAsia="MS Gothic" w:cs="宋体"/>
      <w:b/>
      <w:bCs/>
      <w:color w:val="376092"/>
      <w:sz w:val="28"/>
      <w:szCs w:val="28"/>
    </w:rPr>
  </w:style>
  <w:style w:type="paragraph" w:styleId="4">
    <w:name w:val="heading 2"/>
    <w:basedOn w:val="1"/>
    <w:next w:val="1"/>
    <w:link w:val="142"/>
    <w:qFormat/>
    <w:uiPriority w:val="9"/>
    <w:pPr>
      <w:keepNext/>
      <w:keepLines/>
      <w:spacing w:before="200" w:after="0"/>
      <w:outlineLvl w:val="1"/>
    </w:pPr>
    <w:rPr>
      <w:rFonts w:ascii="Calibri" w:hAnsi="Calibri" w:eastAsia="MS Gothic" w:cs="宋体"/>
      <w:b/>
      <w:bCs/>
      <w:color w:val="4F81BD"/>
      <w:sz w:val="26"/>
      <w:szCs w:val="26"/>
    </w:rPr>
  </w:style>
  <w:style w:type="paragraph" w:styleId="5">
    <w:name w:val="heading 3"/>
    <w:basedOn w:val="1"/>
    <w:next w:val="1"/>
    <w:link w:val="143"/>
    <w:qFormat/>
    <w:uiPriority w:val="9"/>
    <w:pPr>
      <w:keepNext/>
      <w:keepLines/>
      <w:spacing w:before="200" w:after="0"/>
      <w:outlineLvl w:val="2"/>
    </w:pPr>
    <w:rPr>
      <w:rFonts w:ascii="Calibri" w:hAnsi="Calibri" w:eastAsia="MS Gothic" w:cs="宋体"/>
      <w:b/>
      <w:bCs/>
      <w:color w:val="4F81BD"/>
    </w:rPr>
  </w:style>
  <w:style w:type="paragraph" w:styleId="6">
    <w:name w:val="heading 4"/>
    <w:basedOn w:val="1"/>
    <w:next w:val="1"/>
    <w:link w:val="153"/>
    <w:qFormat/>
    <w:uiPriority w:val="9"/>
    <w:pPr>
      <w:keepNext/>
      <w:keepLines/>
      <w:spacing w:before="200" w:after="0"/>
      <w:outlineLvl w:val="3"/>
    </w:pPr>
    <w:rPr>
      <w:rFonts w:ascii="Calibri" w:hAnsi="Calibri" w:eastAsia="MS Gothic" w:cs="宋体"/>
      <w:b/>
      <w:bCs/>
      <w:i/>
      <w:iCs/>
      <w:color w:val="4F81BD"/>
    </w:rPr>
  </w:style>
  <w:style w:type="paragraph" w:styleId="7">
    <w:name w:val="heading 5"/>
    <w:basedOn w:val="1"/>
    <w:next w:val="1"/>
    <w:link w:val="154"/>
    <w:qFormat/>
    <w:uiPriority w:val="9"/>
    <w:pPr>
      <w:keepNext/>
      <w:keepLines/>
      <w:spacing w:before="200" w:after="0"/>
      <w:outlineLvl w:val="4"/>
    </w:pPr>
    <w:rPr>
      <w:rFonts w:ascii="Calibri" w:hAnsi="Calibri" w:eastAsia="MS Gothic" w:cs="宋体"/>
      <w:color w:val="254061"/>
    </w:rPr>
  </w:style>
  <w:style w:type="paragraph" w:styleId="8">
    <w:name w:val="heading 6"/>
    <w:basedOn w:val="1"/>
    <w:next w:val="1"/>
    <w:link w:val="155"/>
    <w:qFormat/>
    <w:uiPriority w:val="9"/>
    <w:pPr>
      <w:keepNext/>
      <w:keepLines/>
      <w:spacing w:before="200" w:after="0"/>
      <w:outlineLvl w:val="5"/>
    </w:pPr>
    <w:rPr>
      <w:rFonts w:ascii="Calibri" w:hAnsi="Calibri" w:eastAsia="MS Gothic" w:cs="宋体"/>
      <w:i/>
      <w:iCs/>
      <w:color w:val="254061"/>
    </w:rPr>
  </w:style>
  <w:style w:type="paragraph" w:styleId="9">
    <w:name w:val="heading 7"/>
    <w:basedOn w:val="1"/>
    <w:next w:val="1"/>
    <w:link w:val="156"/>
    <w:qFormat/>
    <w:uiPriority w:val="9"/>
    <w:pPr>
      <w:keepNext/>
      <w:keepLines/>
      <w:spacing w:before="200" w:after="0"/>
      <w:outlineLvl w:val="6"/>
    </w:pPr>
    <w:rPr>
      <w:rFonts w:ascii="Calibri" w:hAnsi="Calibri" w:eastAsia="MS Gothic" w:cs="宋体"/>
      <w:i/>
      <w:iCs/>
      <w:color w:val="3F3F3F"/>
    </w:rPr>
  </w:style>
  <w:style w:type="paragraph" w:styleId="10">
    <w:name w:val="heading 8"/>
    <w:basedOn w:val="1"/>
    <w:next w:val="1"/>
    <w:link w:val="157"/>
    <w:qFormat/>
    <w:uiPriority w:val="9"/>
    <w:pPr>
      <w:keepNext/>
      <w:keepLines/>
      <w:spacing w:before="200" w:after="0"/>
      <w:outlineLvl w:val="7"/>
    </w:pPr>
    <w:rPr>
      <w:rFonts w:ascii="Calibri" w:hAnsi="Calibri" w:eastAsia="MS Gothic" w:cs="宋体"/>
      <w:color w:val="4F81BD"/>
      <w:sz w:val="20"/>
      <w:szCs w:val="20"/>
    </w:rPr>
  </w:style>
  <w:style w:type="paragraph" w:styleId="11">
    <w:name w:val="heading 9"/>
    <w:basedOn w:val="1"/>
    <w:next w:val="1"/>
    <w:link w:val="158"/>
    <w:qFormat/>
    <w:uiPriority w:val="9"/>
    <w:pPr>
      <w:keepNext/>
      <w:keepLines/>
      <w:spacing w:before="200" w:after="0"/>
      <w:outlineLvl w:val="8"/>
    </w:pPr>
    <w:rPr>
      <w:rFonts w:ascii="Calibri" w:hAnsi="Calibri" w:eastAsia="MS Gothic" w:cs="宋体"/>
      <w:i/>
      <w:iCs/>
      <w:color w:val="3F3F3F"/>
      <w:sz w:val="20"/>
      <w:szCs w:val="20"/>
    </w:rPr>
  </w:style>
  <w:style w:type="character" w:default="1" w:styleId="133">
    <w:name w:val="Default Paragraph Font"/>
    <w:qFormat/>
    <w:uiPriority w:val="1"/>
  </w:style>
  <w:style w:type="table" w:default="1" w:styleId="3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50"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="ＭＳ 明朝" w:cs="宋体"/>
      <w:sz w:val="20"/>
      <w:szCs w:val="20"/>
      <w:lang w:val="en-US" w:eastAsia="en-US" w:bidi="ar-SA"/>
    </w:rPr>
  </w:style>
  <w:style w:type="paragraph" w:styleId="12">
    <w:name w:val="List 3"/>
    <w:basedOn w:val="1"/>
    <w:qFormat/>
    <w:uiPriority w:val="99"/>
    <w:pPr>
      <w:ind w:left="1080" w:hanging="360"/>
      <w:contextualSpacing/>
    </w:pPr>
  </w:style>
  <w:style w:type="paragraph" w:styleId="13">
    <w:name w:val="List Number 2"/>
    <w:basedOn w:val="1"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qFormat/>
    <w:uiPriority w:val="35"/>
    <w:pPr>
      <w:spacing w:line="240" w:lineRule="auto"/>
    </w:pPr>
    <w:rPr>
      <w:b/>
      <w:bCs/>
      <w:color w:val="4F81BD"/>
      <w:sz w:val="18"/>
      <w:szCs w:val="18"/>
    </w:rPr>
  </w:style>
  <w:style w:type="paragraph" w:styleId="16">
    <w:name w:val="List Bullet"/>
    <w:basedOn w:val="1"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9"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7"/>
    <w:qFormat/>
    <w:uiPriority w:val="99"/>
    <w:pPr>
      <w:spacing w:after="120"/>
    </w:pPr>
  </w:style>
  <w:style w:type="paragraph" w:styleId="20">
    <w:name w:val="List Number 3"/>
    <w:basedOn w:val="1"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qFormat/>
    <w:uiPriority w:val="99"/>
    <w:pPr>
      <w:ind w:left="720" w:hanging="360"/>
      <w:contextualSpacing/>
    </w:pPr>
  </w:style>
  <w:style w:type="paragraph" w:styleId="22">
    <w:name w:val="List Continue"/>
    <w:basedOn w:val="1"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9"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8"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5"/>
    <w:qFormat/>
    <w:uiPriority w:val="11"/>
    <w:rPr>
      <w:rFonts w:ascii="Calibri" w:hAnsi="Calibri" w:eastAsia="MS Gothic" w:cs="宋体"/>
      <w:i/>
      <w:iCs/>
      <w:color w:val="4F81BD"/>
      <w:spacing w:val="15"/>
      <w:sz w:val="24"/>
      <w:szCs w:val="24"/>
    </w:rPr>
  </w:style>
  <w:style w:type="paragraph" w:styleId="27">
    <w:name w:val="List"/>
    <w:basedOn w:val="1"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8"/>
    <w:qFormat/>
    <w:uiPriority w:val="99"/>
    <w:pPr>
      <w:spacing w:after="120" w:line="480" w:lineRule="auto"/>
    </w:pPr>
  </w:style>
  <w:style w:type="paragraph" w:styleId="29">
    <w:name w:val="List Continue 2"/>
    <w:basedOn w:val="1"/>
    <w:qFormat/>
    <w:uiPriority w:val="99"/>
    <w:pPr>
      <w:spacing w:after="120"/>
      <w:ind w:left="720"/>
      <w:contextualSpacing/>
    </w:pPr>
  </w:style>
  <w:style w:type="paragraph" w:styleId="30">
    <w:name w:val="Normal (Web)"/>
    <w:qFormat/>
    <w:uiPriority w:val="0"/>
    <w:pPr>
      <w:widowControl w:val="0"/>
      <w:spacing w:before="100" w:beforeAutospacing="1" w:after="100" w:afterAutospacing="1" w:line="240" w:lineRule="atLeast"/>
      <w:ind w:left="0" w:right="0"/>
      <w:jc w:val="left"/>
    </w:pPr>
    <w:rPr>
      <w:rFonts w:ascii="Times New Roman" w:hAnsi="Times New Roman" w:eastAsia="仿宋_GB2312" w:cs="Times New Roman"/>
      <w:spacing w:val="-6"/>
      <w:kern w:val="0"/>
      <w:sz w:val="24"/>
      <w:lang w:val="en-US" w:eastAsia="zh-CN"/>
    </w:rPr>
  </w:style>
  <w:style w:type="paragraph" w:styleId="31">
    <w:name w:val="List Continue 3"/>
    <w:basedOn w:val="1"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4"/>
    <w:qFormat/>
    <w:uiPriority w:val="10"/>
    <w:pPr>
      <w:pBdr>
        <w:bottom w:val="single" w:color="4F81BD" w:sz="8" w:space="4"/>
      </w:pBdr>
      <w:spacing w:after="300" w:line="240" w:lineRule="auto"/>
      <w:contextualSpacing/>
    </w:pPr>
    <w:rPr>
      <w:rFonts w:ascii="Calibri" w:hAnsi="Calibri" w:eastAsia="MS Gothic" w:cs="宋体"/>
      <w:color w:val="17375E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qFormat/>
    <w:uiPriority w:val="60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BFBFBF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BFBFBF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3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3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0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0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5D1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5D1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3F3F3F" w:sz="8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sz="6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4CC82" w:sz="8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sz="6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3"/>
      </w:tcPr>
    </w:tblStylePr>
    <w:tblStylePr w:type="band1Horz">
      <w:tblPr/>
      <w:tcPr>
        <w:shd w:val="clear" w:color="auto" w:fill="EFD3D3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0"/>
      </w:tcPr>
    </w:tblStylePr>
    <w:tblStylePr w:type="band1Horz">
      <w:tblPr/>
      <w:tcPr>
        <w:shd w:val="clear" w:color="auto" w:fill="D2EAF0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5D1"/>
      </w:tcPr>
    </w:tblStylePr>
    <w:tblStylePr w:type="band1Horz">
      <w:tblPr/>
      <w:tcPr>
        <w:shd w:val="clear" w:color="auto" w:fill="FDE5D1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  <w:insideV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  <w:insideV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color w:val="000000"/>
      </w:rPr>
      <w:tblPr/>
      <w:tcPr>
        <w:shd w:val="clear" w:color="auto" w:fill="E5E5E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/>
      </w:tcPr>
    </w:tblStylePr>
    <w:tblStylePr w:type="nwCell">
      <w:tblPr/>
      <w:tcPr>
        <w:shd w:val="clear" w:color="auto" w:fill="FFFFFF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/>
      </w:tcPr>
    </w:tblStylePr>
    <w:tblStylePr w:type="nwCell">
      <w:tblPr/>
      <w:tcPr>
        <w:shd w:val="clear" w:color="auto" w:fill="FFFFFF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7F7F7F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7F7F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C0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C0DE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60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60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7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7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0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9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7F7F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B4D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C0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A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shd w:val="clear" w:color="auto" w:fill="CCCCCC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/>
      </w:tcPr>
    </w:tblStylePr>
    <w:tblStylePr w:type="band1Horz">
      <w:tblPr/>
      <w:tcPr>
        <w:shd w:val="clear" w:color="auto" w:fill="F2DBDB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F83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D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3730A"/>
      </w:tcPr>
    </w:tblStylePr>
    <w:tblStylePr w:type="lastRow">
      <w:rPr>
        <w:b/>
        <w:bCs/>
        <w:color w:val="F3740B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/>
      </w:tcPr>
    </w:tblStylePr>
    <w:tblStylePr w:type="band1Horz">
      <w:tblPr/>
      <w:tcPr>
        <w:shd w:val="clear" w:color="auto" w:fill="DAEEF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58EA6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/>
      </w:tcPr>
    </w:tblStylePr>
    <w:tblStylePr w:type="band1Horz">
      <w:tblPr/>
      <w:tcPr>
        <w:shd w:val="clear" w:color="auto" w:fill="FDE9D9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6091"/>
      </w:tcPr>
    </w:tblStylePr>
    <w:tblStylePr w:type="lastCol">
      <w:rPr>
        <w:color w:val="FFFFFF"/>
      </w:rPr>
      <w:tblPr/>
      <w:tcPr>
        <w:shd w:val="clear" w:color="auto" w:fill="36609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734"/>
      </w:tcPr>
    </w:tblStylePr>
    <w:tblStylePr w:type="lastCol">
      <w:rPr>
        <w:color w:val="FFFFFF"/>
      </w:rPr>
      <w:tblPr/>
      <w:tcPr>
        <w:shd w:val="clear" w:color="auto" w:fill="9437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9"/>
      </w:tcPr>
    </w:tblStylePr>
    <w:tblStylePr w:type="lastCol">
      <w:rPr>
        <w:color w:val="FFFFFF"/>
      </w:rPr>
      <w:tblPr/>
      <w:tcPr>
        <w:shd w:val="clear" w:color="auto" w:fill="E36C0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page number"/>
    <w:qFormat/>
    <w:uiPriority w:val="0"/>
  </w:style>
  <w:style w:type="character" w:styleId="136">
    <w:name w:val="Emphasis"/>
    <w:basedOn w:val="133"/>
    <w:qFormat/>
    <w:uiPriority w:val="20"/>
    <w:rPr>
      <w:i/>
      <w:iCs/>
    </w:rPr>
  </w:style>
  <w:style w:type="character" w:styleId="137">
    <w:name w:val="Hyperlink"/>
    <w:basedOn w:val="133"/>
    <w:qFormat/>
    <w:uiPriority w:val="0"/>
    <w:rPr>
      <w:color w:val="0000FF"/>
      <w:u w:val="single"/>
    </w:rPr>
  </w:style>
  <w:style w:type="character" w:customStyle="1" w:styleId="138">
    <w:name w:val="Header Char_fd3850b8-ba5d-418a-9563-a45882715589"/>
    <w:basedOn w:val="133"/>
    <w:link w:val="25"/>
    <w:qFormat/>
    <w:uiPriority w:val="99"/>
  </w:style>
  <w:style w:type="character" w:customStyle="1" w:styleId="139">
    <w:name w:val="Footer Char_4a50f730-69c9-4ee4-b93d-79710ee7f21c"/>
    <w:basedOn w:val="133"/>
    <w:link w:val="24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="Cambria" w:hAnsi="Cambria" w:eastAsia="ＭＳ 明朝" w:cs="宋体"/>
      <w:sz w:val="22"/>
      <w:szCs w:val="22"/>
      <w:lang w:val="en-US" w:eastAsia="en-US" w:bidi="ar-SA"/>
    </w:rPr>
  </w:style>
  <w:style w:type="character" w:customStyle="1" w:styleId="141">
    <w:name w:val="Heading 1 Char_d5594603-ecf0-4a6a-a315-7e5c2047cfd1"/>
    <w:basedOn w:val="133"/>
    <w:link w:val="3"/>
    <w:qFormat/>
    <w:uiPriority w:val="9"/>
    <w:rPr>
      <w:rFonts w:ascii="Calibri" w:hAnsi="Calibri" w:eastAsia="MS Gothic" w:cs="宋体"/>
      <w:b/>
      <w:bCs/>
      <w:color w:val="376092"/>
      <w:sz w:val="28"/>
      <w:szCs w:val="28"/>
    </w:rPr>
  </w:style>
  <w:style w:type="character" w:customStyle="1" w:styleId="142">
    <w:name w:val="Heading 2 Char_0e973f26-107d-4683-81cc-e6f44e6d0b04"/>
    <w:basedOn w:val="133"/>
    <w:link w:val="4"/>
    <w:qFormat/>
    <w:uiPriority w:val="9"/>
    <w:rPr>
      <w:rFonts w:ascii="Calibri" w:hAnsi="Calibri" w:eastAsia="MS Gothic" w:cs="宋体"/>
      <w:b/>
      <w:bCs/>
      <w:color w:val="4F81BD"/>
      <w:sz w:val="26"/>
      <w:szCs w:val="26"/>
    </w:rPr>
  </w:style>
  <w:style w:type="character" w:customStyle="1" w:styleId="143">
    <w:name w:val="Heading 3 Char_f9fbc730-8290-4b08-ae57-f2251772f269"/>
    <w:basedOn w:val="133"/>
    <w:link w:val="5"/>
    <w:qFormat/>
    <w:uiPriority w:val="9"/>
    <w:rPr>
      <w:rFonts w:ascii="Calibri" w:hAnsi="Calibri" w:eastAsia="MS Gothic" w:cs="宋体"/>
      <w:b/>
      <w:bCs/>
      <w:color w:val="4F81BD"/>
    </w:rPr>
  </w:style>
  <w:style w:type="character" w:customStyle="1" w:styleId="144">
    <w:name w:val="Title Char_9c148df6-e137-44f7-baa6-45b46faa968b"/>
    <w:basedOn w:val="133"/>
    <w:link w:val="32"/>
    <w:qFormat/>
    <w:uiPriority w:val="10"/>
    <w:rPr>
      <w:rFonts w:ascii="Calibri" w:hAnsi="Calibri" w:eastAsia="MS Gothic" w:cs="宋体"/>
      <w:color w:val="17375E"/>
      <w:spacing w:val="5"/>
      <w:kern w:val="28"/>
      <w:sz w:val="52"/>
      <w:szCs w:val="52"/>
    </w:rPr>
  </w:style>
  <w:style w:type="character" w:customStyle="1" w:styleId="145">
    <w:name w:val="Subtitle Char"/>
    <w:basedOn w:val="133"/>
    <w:link w:val="26"/>
    <w:qFormat/>
    <w:uiPriority w:val="11"/>
    <w:rPr>
      <w:rFonts w:ascii="Calibri" w:hAnsi="Calibri" w:eastAsia="MS Gothic" w:cs="宋体"/>
      <w:i/>
      <w:iCs/>
      <w:color w:val="4F81BD"/>
      <w:spacing w:val="15"/>
      <w:sz w:val="24"/>
      <w:szCs w:val="24"/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3"/>
    <w:link w:val="19"/>
    <w:qFormat/>
    <w:uiPriority w:val="99"/>
  </w:style>
  <w:style w:type="character" w:customStyle="1" w:styleId="148">
    <w:name w:val="Body Text 2 Char"/>
    <w:basedOn w:val="133"/>
    <w:link w:val="28"/>
    <w:qFormat/>
    <w:uiPriority w:val="99"/>
  </w:style>
  <w:style w:type="character" w:customStyle="1" w:styleId="149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50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/>
    </w:rPr>
  </w:style>
  <w:style w:type="character" w:customStyle="1" w:styleId="152">
    <w:name w:val="Quote Char_e91483a1-e3ca-4358-acd4-8408d204be29"/>
    <w:basedOn w:val="133"/>
    <w:link w:val="151"/>
    <w:qFormat/>
    <w:uiPriority w:val="29"/>
    <w:rPr>
      <w:i/>
      <w:iCs/>
      <w:color w:val="000000"/>
    </w:rPr>
  </w:style>
  <w:style w:type="character" w:customStyle="1" w:styleId="153">
    <w:name w:val="Heading 4 Char_4f110f4a-630e-4b86-9071-4c7d8e0fcd21"/>
    <w:basedOn w:val="133"/>
    <w:link w:val="6"/>
    <w:qFormat/>
    <w:uiPriority w:val="9"/>
    <w:rPr>
      <w:rFonts w:ascii="Calibri" w:hAnsi="Calibri" w:eastAsia="MS Gothic" w:cs="宋体"/>
      <w:b/>
      <w:bCs/>
      <w:i/>
      <w:iCs/>
      <w:color w:val="4F81BD"/>
    </w:rPr>
  </w:style>
  <w:style w:type="character" w:customStyle="1" w:styleId="154">
    <w:name w:val="Heading 5 Char_cc902f37-bbbb-4290-8792-5d96719cd7d8"/>
    <w:basedOn w:val="133"/>
    <w:link w:val="7"/>
    <w:qFormat/>
    <w:uiPriority w:val="9"/>
    <w:rPr>
      <w:rFonts w:ascii="Calibri" w:hAnsi="Calibri" w:eastAsia="MS Gothic" w:cs="宋体"/>
      <w:color w:val="254061"/>
    </w:rPr>
  </w:style>
  <w:style w:type="character" w:customStyle="1" w:styleId="155">
    <w:name w:val="Heading 6 Char_c25f7c3a-2a14-4ccf-ba15-1546b90f92c4"/>
    <w:basedOn w:val="133"/>
    <w:link w:val="8"/>
    <w:qFormat/>
    <w:uiPriority w:val="9"/>
    <w:rPr>
      <w:rFonts w:ascii="Calibri" w:hAnsi="Calibri" w:eastAsia="MS Gothic" w:cs="宋体"/>
      <w:i/>
      <w:iCs/>
      <w:color w:val="254061"/>
    </w:rPr>
  </w:style>
  <w:style w:type="character" w:customStyle="1" w:styleId="156">
    <w:name w:val="Heading 7 Char_0166ac9d-4a31-4ddb-bc5d-9af12342ccda"/>
    <w:basedOn w:val="133"/>
    <w:link w:val="9"/>
    <w:qFormat/>
    <w:uiPriority w:val="9"/>
    <w:rPr>
      <w:rFonts w:ascii="Calibri" w:hAnsi="Calibri" w:eastAsia="MS Gothic" w:cs="宋体"/>
      <w:i/>
      <w:iCs/>
      <w:color w:val="3F3F3F"/>
    </w:rPr>
  </w:style>
  <w:style w:type="character" w:customStyle="1" w:styleId="157">
    <w:name w:val="Heading 8 Char_4974a972-5fa0-4eb8-912e-a2b328ee139a"/>
    <w:basedOn w:val="133"/>
    <w:link w:val="10"/>
    <w:qFormat/>
    <w:uiPriority w:val="9"/>
    <w:rPr>
      <w:rFonts w:ascii="Calibri" w:hAnsi="Calibri" w:eastAsia="MS Gothic" w:cs="宋体"/>
      <w:color w:val="4F81BD"/>
      <w:sz w:val="20"/>
      <w:szCs w:val="20"/>
    </w:rPr>
  </w:style>
  <w:style w:type="character" w:customStyle="1" w:styleId="158">
    <w:name w:val="Heading 9 Char_02c5442f-1d14-4a69-a9aa-37c5326adb19"/>
    <w:basedOn w:val="133"/>
    <w:link w:val="11"/>
    <w:qFormat/>
    <w:uiPriority w:val="9"/>
    <w:rPr>
      <w:rFonts w:ascii="Calibri" w:hAnsi="Calibri" w:eastAsia="MS Gothic" w:cs="宋体"/>
      <w:i/>
      <w:iCs/>
      <w:color w:val="3F3F3F"/>
      <w:sz w:val="20"/>
      <w:szCs w:val="20"/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60">
    <w:name w:val="Intense Quote Char_375f8d5a-017e-4481-a316-5a682a644b50"/>
    <w:basedOn w:val="133"/>
    <w:link w:val="159"/>
    <w:qFormat/>
    <w:uiPriority w:val="30"/>
    <w:rPr>
      <w:b/>
      <w:bCs/>
      <w:i/>
      <w:iCs/>
      <w:color w:val="4F81BD"/>
    </w:rPr>
  </w:style>
  <w:style w:type="character" w:customStyle="1" w:styleId="161">
    <w:name w:val="Subtle Emphasis_1dd5bd25-8837-4792-90ba-c8c5827898d9"/>
    <w:basedOn w:val="133"/>
    <w:qFormat/>
    <w:uiPriority w:val="19"/>
    <w:rPr>
      <w:i/>
      <w:iCs/>
      <w:color w:val="7F7F7F"/>
    </w:rPr>
  </w:style>
  <w:style w:type="character" w:customStyle="1" w:styleId="162">
    <w:name w:val="Intense Emphasis_de76aa28-372f-43c8-adf4-bcdf50ea6763"/>
    <w:basedOn w:val="133"/>
    <w:qFormat/>
    <w:uiPriority w:val="21"/>
    <w:rPr>
      <w:b/>
      <w:bCs/>
      <w:i/>
      <w:iCs/>
      <w:color w:val="4F81BD"/>
    </w:rPr>
  </w:style>
  <w:style w:type="character" w:customStyle="1" w:styleId="163">
    <w:name w:val="Subtle Reference_97f418c0-639b-4271-9879-f810391c2dc7"/>
    <w:basedOn w:val="133"/>
    <w:qFormat/>
    <w:uiPriority w:val="31"/>
    <w:rPr>
      <w:smallCaps/>
      <w:color w:val="C0504D"/>
      <w:u w:val="single"/>
    </w:rPr>
  </w:style>
  <w:style w:type="character" w:customStyle="1" w:styleId="164">
    <w:name w:val="Intense Reference_751c2cdd-420f-4ba3-9fc5-9d55f4953bd2"/>
    <w:basedOn w:val="133"/>
    <w:qFormat/>
    <w:uiPriority w:val="32"/>
    <w:rPr>
      <w:b/>
      <w:bCs/>
      <w:smallCaps/>
      <w:color w:val="C0504D"/>
      <w:spacing w:val="5"/>
      <w:u w:val="single"/>
    </w:rPr>
  </w:style>
  <w:style w:type="character" w:customStyle="1" w:styleId="165">
    <w:name w:val="Book Title_e7146414-cc51-4114-b470-0f7611e4d9ab"/>
    <w:basedOn w:val="133"/>
    <w:qFormat/>
    <w:uiPriority w:val="33"/>
    <w:rPr>
      <w:b/>
      <w:bCs/>
      <w:smallCaps/>
      <w:spacing w:val="5"/>
    </w:rPr>
  </w:style>
  <w:style w:type="paragraph" w:customStyle="1" w:styleId="166">
    <w:name w:val="TOC Heading_3d45427d-a648-4a2c-907b-d1e735092a79"/>
    <w:basedOn w:val="3"/>
    <w:next w:val="1"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7c9594d5-7d5b-4435-b6d2-7cc4c291cef6</errorID>
      <errorWord>老年人智能体能检测评估</errorWord>
      <group>L1_Other</group>
      <groupName>其他问题</groupName>
      <ability>L2_Consistency</ability>
      <abilityName>一致性检查</abilityName>
      <candidateList>
        <item>老年体能检测评估</item>
      </candidateList>
      <explain>实体一致性，上下文相同项目表述不一致，原文对应位置统一表述为“老年体能检测评估”</explain>
      <paraID>57CE186E</paraID>
      <start>54</start>
      <end>62</end>
      <status>modified</status>
      <modifiedWord>老年体能检测评估</modifiedWord>
      <trackRevisions>false</trackRevisions>
    </reviewItem>
    <reviewItem>
      <errorID>71e1f059-1d4b-4614-b0ac-30399f089e09</errorID>
      <errorWord>、</errorWord>
      <group>L1_Punc</group>
      <groupName>标点问题</groupName>
      <ability>L2_Punc_CN</ability>
      <abilityName>标点符号问题</abilityName>
      <candidateList/>
      <explain/>
      <paraID>75FAF601</paraID>
      <start>49</start>
      <end>50</end>
      <status>ignored</status>
      <modifiedWord/>
      <trackRevisions>false</trackRevisions>
    </reviewItem>
    <reviewItem>
      <errorID>21d57c57-8318-492e-baa4-5e00412a45f5</errorID>
      <errorWord>。并</errorWord>
      <group>L1_Word</group>
      <groupName>字词问题</groupName>
      <ability>L2_Typo</ability>
      <abilityName>字词错误</abilityName>
      <candidateList>
        <item>，</item>
      </candidateList>
      <explain/>
      <paraID> DD9D800</paraID>
      <start>41</start>
      <end>42</end>
      <status>modified</status>
      <modifiedWord>，</modifiedWord>
      <trackRevisions>false</trackRevisions>
    </reviewItem>
    <reviewItem>
      <errorID>64184687-884d-4c30-b954-506aa67addad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32B13021</paraID>
      <start>0</start>
      <end>2</end>
      <status>modified</status>
      <modifiedWord>1.</modifiedWord>
      <trackRevisions>false</trackRevisions>
    </reviewItem>
    <reviewItem>
      <errorID>171794e0-7c0f-4c89-8d70-53b3a07f6174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3F4FA294</paraID>
      <start>7</start>
      <end>8</end>
      <status>modified</status>
      <modifiedWord>：</modifiedWord>
      <trackRevisions>false</trackRevisions>
    </reviewItem>
    <reviewItem>
      <errorID>8c10b0e9-9abe-449a-8f07-005a8ea8bbfc</errorID>
      <errorWord>）</errorWord>
      <group>L1_Punc</group>
      <groupName>标点问题</groupName>
      <ability>L2_Punc_CN</ability>
      <abilityName>标点符号问题</abilityName>
      <candidateList>
        <item/>
      </candidateList>
      <explain/>
      <paraID>1C3B7949</paraID>
      <start>58</start>
      <end>58</end>
      <status>modified</status>
      <modifiedWord/>
      <trackRevisions>false</trackRevisions>
    </reviewItem>
    <reviewItem>
      <errorID>eeaf557f-01e5-466e-996b-14c358aa9c72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429C9B0</paraID>
      <start>0</start>
      <end>2</end>
      <status>modified</status>
      <modifiedWord>2.</modifiedWord>
      <trackRevisions>false</trackRevisions>
    </reviewItem>
    <reviewItem>
      <errorID>0d8ee877-cb5a-46a9-9a56-f0afd602e35d</errorID>
      <errorWord>非正常</errorWord>
      <group>L1_Punc</group>
      <groupName>标点问题</groupName>
      <ability>L2_Punc_CN</ability>
      <abilityName>标点符号问题</abilityName>
      <candidateList>
        <item>、非正常</item>
      </candidateList>
      <explain/>
      <paraID>214E4118</paraID>
      <start>57</start>
      <end>61</end>
      <status>modified</status>
      <modifiedWord>、非正常</modifiedWord>
      <trackRevisions>false</trackRevisions>
    </reviewItem>
    <reviewItem>
      <errorID>d3048893-105e-40e4-ba65-8b669aab2f47</errorID>
      <errorWord>《上海市智慧健康养老产品和服务及典型案例推广目录（2026版）》</errorWord>
      <group>L1_Punc</group>
      <groupName>标点问题</groupName>
      <ability>L2_Punc_CN</ability>
      <abilityName>标点符号问题</abilityName>
      <candidateList>
        <item>“上海市智慧健康养老产品和服务及典型案例推广目录（2026版）”</item>
      </candidateList>
      <explain/>
      <paraID>246C667B</paraID>
      <start>4</start>
      <end>36</end>
      <status>modified</status>
      <modifiedWord>“上海市智慧健康养老产品和服务及典型案例推广目录（2026版）”</modifiedWord>
      <trackRevisions>false</trackRevisions>
    </reviewItem>
    <reviewItem>
      <errorID>a56b3f77-bd49-4176-b159-2b96db80e13b</errorID>
      <errorWord> </errorWord>
      <group>L1_Punc</group>
      <groupName>标点问题</groupName>
      <ability>L2_Punc_CN</ability>
      <abilityName>标点符号问题</abilityName>
      <candidateList>
        <item>：</item>
      </candidateList>
      <explain/>
      <paraID>14BC8D25</paraID>
      <start>3</start>
      <end>4</end>
      <status>modified</status>
      <modifiedWord>：</modifiedWord>
      <trackRevisions>false</trackRevisions>
    </reviewItem>
    <reviewItem>
      <errorID>76e0c86a-bb90-4c65-88c5-738eefa6cd59</errorID>
      <errorWord>选择</errorWord>
      <group>L1_Word</group>
      <groupName>字词问题</groupName>
      <ability>L2_Typo</ability>
      <abilityName>字词错误</abilityName>
      <candidateList>
        <item>点击</item>
      </candidateList>
      <explain/>
      <paraID>432262CC</paraID>
      <start>23</start>
      <end>25</end>
      <status>modified</status>
      <modifiedWord>点击</modifiedWord>
      <trackRevisions>false</trackRevisions>
    </reviewItem>
    <reviewItem>
      <errorID>7c6d4cb8-7c70-435b-97b5-66a606891657</errorID>
      <errorWord>材料顺序</errorWord>
      <group>L1_Word</group>
      <groupName>字词问题</groupName>
      <ability>L2_Typo</ability>
      <abilityName>字词错误</abilityName>
      <candidateList>
        <item>将材料</item>
      </candidateList>
      <explain/>
      <paraID> 6C55425</paraID>
      <start>19</start>
      <end>22</end>
      <status>modified</status>
      <modifiedWord>将材料</modifiedWord>
      <trackRevisions>false</trackRevisions>
    </reviewItem>
    <reviewItem>
      <errorID>eae4852f-497e-4f10-bc68-f4464464e95c</errorID>
      <errorWord>合并</errorWord>
      <group>L1_Grammar</group>
      <groupName>语法问题</groupName>
      <ability>L2_Grammar</ability>
      <abilityName>语法错误</abilityName>
      <candidateList>
        <item>的顺序合并</item>
      </candidateList>
      <explain/>
      <paraID> 6C55425</paraID>
      <start>43</start>
      <end>48</end>
      <status>modified</status>
      <modifiedWord>的顺序合并</modifiedWord>
      <trackRevisions>false</trackRevisions>
    </reviewItem>
  </reviewItems>
  <config/>
</contractReview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c7368d-c5eb-4d3d-916c-7d5e76ead86a}">
  <ds:schemaRefs/>
</ds:datastoreItem>
</file>

<file path=customXml/itemProps3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1070</Words>
  <Characters>1088</Characters>
  <Paragraphs>413</Paragraphs>
  <TotalTime>0</TotalTime>
  <ScaleCrop>false</ScaleCrop>
  <LinksUpToDate>false</LinksUpToDate>
  <CharactersWithSpaces>1088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柒心幽蝶</cp:lastModifiedBy>
  <dcterms:modified xsi:type="dcterms:W3CDTF">2026-10-12T08:02:54Z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eyJoZGlkIjoiY2M0N2E2ODUzODI5M2VkYjI2ZWI1ZjczOTg2M2M0MTkiLCJ1c2VySWQiOiI2NzYwODkxNjUifQ==</vt:lpwstr>
  </property>
  <property fmtid="{D5CDD505-2E9C-101B-9397-08002B2CF9AE}" pid="3" name="KSOProductBuildVer">
    <vt:lpwstr>2052-12.1.0.29161</vt:lpwstr>
  </property>
  <property fmtid="{D5CDD505-2E9C-101B-9397-08002B2CF9AE}" pid="4" name="ICV">
    <vt:lpwstr>0653662B08EB41E7A14DF61CA33037F8_13</vt:lpwstr>
  </property>
</Properties>
</file>